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434215" w14:textId="77777777" w:rsidR="0024163F" w:rsidRDefault="0024163F" w:rsidP="0024163F">
      <w:pPr>
        <w:jc w:val="center"/>
      </w:pPr>
      <w:bookmarkStart w:id="0" w:name="_GoBack"/>
      <w:bookmarkEnd w:id="0"/>
    </w:p>
    <w:p w14:paraId="3DAE6EB3" w14:textId="77777777" w:rsidR="0024163F" w:rsidRDefault="0024163F" w:rsidP="0024163F">
      <w:pPr>
        <w:jc w:val="center"/>
      </w:pPr>
    </w:p>
    <w:p w14:paraId="2044B31C" w14:textId="77777777" w:rsidR="0024163F" w:rsidRDefault="0024163F" w:rsidP="0024163F">
      <w:pPr>
        <w:jc w:val="center"/>
      </w:pPr>
    </w:p>
    <w:p w14:paraId="12749365" w14:textId="77777777" w:rsidR="0024163F" w:rsidRDefault="0024163F" w:rsidP="0024163F">
      <w:pPr>
        <w:jc w:val="center"/>
      </w:pPr>
    </w:p>
    <w:p w14:paraId="52E276B2" w14:textId="77777777" w:rsidR="0024163F" w:rsidRDefault="0024163F" w:rsidP="0024163F">
      <w:pPr>
        <w:jc w:val="center"/>
      </w:pPr>
    </w:p>
    <w:p w14:paraId="2594574E" w14:textId="77777777" w:rsidR="0024163F" w:rsidRDefault="0024163F" w:rsidP="0024163F">
      <w:pPr>
        <w:jc w:val="center"/>
      </w:pPr>
    </w:p>
    <w:p w14:paraId="022ACF31" w14:textId="77777777" w:rsidR="0024163F" w:rsidRDefault="0024163F" w:rsidP="0024163F">
      <w:pPr>
        <w:jc w:val="center"/>
      </w:pPr>
    </w:p>
    <w:p w14:paraId="2C624518" w14:textId="77777777" w:rsidR="0024163F" w:rsidRDefault="0024163F" w:rsidP="0024163F">
      <w:pPr>
        <w:jc w:val="center"/>
      </w:pPr>
    </w:p>
    <w:p w14:paraId="4226965D" w14:textId="77777777" w:rsidR="0024163F" w:rsidRDefault="0024163F" w:rsidP="0024163F">
      <w:pPr>
        <w:jc w:val="center"/>
      </w:pPr>
    </w:p>
    <w:p w14:paraId="437225CC" w14:textId="77777777" w:rsidR="0024163F" w:rsidRDefault="0024163F" w:rsidP="0024163F">
      <w:pPr>
        <w:jc w:val="center"/>
      </w:pPr>
    </w:p>
    <w:p w14:paraId="435E4A34" w14:textId="77777777" w:rsidR="0024163F" w:rsidRDefault="0024163F" w:rsidP="0024163F">
      <w:pPr>
        <w:jc w:val="center"/>
      </w:pPr>
    </w:p>
    <w:p w14:paraId="3B4872FC" w14:textId="77777777" w:rsidR="0024163F" w:rsidRDefault="0024163F" w:rsidP="0024163F">
      <w:pPr>
        <w:jc w:val="center"/>
      </w:pPr>
    </w:p>
    <w:p w14:paraId="13151274" w14:textId="77777777" w:rsidR="0024163F" w:rsidRDefault="0024163F" w:rsidP="0024163F">
      <w:pPr>
        <w:jc w:val="center"/>
      </w:pPr>
    </w:p>
    <w:p w14:paraId="1F2945D2" w14:textId="77777777" w:rsidR="00883974" w:rsidRDefault="00883974" w:rsidP="0024163F">
      <w:pPr>
        <w:jc w:val="center"/>
      </w:pPr>
    </w:p>
    <w:p w14:paraId="39DFD5F8" w14:textId="568AA002" w:rsidR="006D5725" w:rsidRDefault="00122EC1" w:rsidP="0024163F">
      <w:pPr>
        <w:jc w:val="center"/>
      </w:pPr>
      <w:r>
        <w:t xml:space="preserve">Federal </w:t>
      </w:r>
      <w:r w:rsidR="0024163F">
        <w:t>Sentencing Guidelines</w:t>
      </w:r>
    </w:p>
    <w:p w14:paraId="2A6B7651" w14:textId="7FDDFDFC" w:rsidR="0024163F" w:rsidRDefault="00122EC1" w:rsidP="0024163F">
      <w:pPr>
        <w:jc w:val="center"/>
      </w:pPr>
      <w:r>
        <w:t>Name</w:t>
      </w:r>
    </w:p>
    <w:p w14:paraId="41AE4A09" w14:textId="0EB4AD05" w:rsidR="0024163F" w:rsidRDefault="00122EC1" w:rsidP="0024163F">
      <w:pPr>
        <w:jc w:val="center"/>
      </w:pPr>
      <w:r>
        <w:t>Institution</w:t>
      </w:r>
    </w:p>
    <w:p w14:paraId="57C6892D" w14:textId="0D683BA5" w:rsidR="0024163F" w:rsidRDefault="0024163F"/>
    <w:p w14:paraId="72C4DED0" w14:textId="05A4C269" w:rsidR="00883974" w:rsidRDefault="00883974"/>
    <w:p w14:paraId="1CC2D88A" w14:textId="79F9E7EB" w:rsidR="00883974" w:rsidRDefault="00883974"/>
    <w:p w14:paraId="03430EA6" w14:textId="3E95958D" w:rsidR="00883974" w:rsidRDefault="00883974"/>
    <w:p w14:paraId="0B971240" w14:textId="3DA3EB6E" w:rsidR="00883974" w:rsidRDefault="00883974"/>
    <w:p w14:paraId="548BAE0E" w14:textId="0DA139CA" w:rsidR="00883974" w:rsidRDefault="00883974"/>
    <w:p w14:paraId="7D32A0AB" w14:textId="1A4AB95C" w:rsidR="00883974" w:rsidRDefault="00883974"/>
    <w:p w14:paraId="3FB5AE00" w14:textId="37E11CF4" w:rsidR="00883974" w:rsidRDefault="00883974"/>
    <w:p w14:paraId="52208625" w14:textId="44C71A8C" w:rsidR="00883974" w:rsidRDefault="00883974"/>
    <w:p w14:paraId="25525649" w14:textId="62C4F7CC" w:rsidR="00883974" w:rsidRDefault="00883974"/>
    <w:p w14:paraId="39633FAD" w14:textId="2F8E9F46" w:rsidR="00883974" w:rsidRDefault="00883974"/>
    <w:p w14:paraId="0D810897" w14:textId="2A333943" w:rsidR="00883974" w:rsidRDefault="00883974"/>
    <w:p w14:paraId="0A287FDB" w14:textId="77777777" w:rsidR="00883974" w:rsidRDefault="00883974"/>
    <w:p w14:paraId="517EB95F" w14:textId="37389C9B" w:rsidR="00883974" w:rsidRDefault="00122EC1" w:rsidP="00891334">
      <w:pPr>
        <w:spacing w:line="480" w:lineRule="auto"/>
        <w:jc w:val="center"/>
      </w:pPr>
      <w:r w:rsidRPr="00883974">
        <w:lastRenderedPageBreak/>
        <w:t>Federal sentencing guidelines</w:t>
      </w:r>
    </w:p>
    <w:p w14:paraId="508C40C8" w14:textId="110B066D" w:rsidR="00B55500" w:rsidRDefault="00122EC1" w:rsidP="00891334">
      <w:pPr>
        <w:spacing w:line="480" w:lineRule="auto"/>
        <w:ind w:firstLine="720"/>
        <w:jc w:val="both"/>
      </w:pPr>
      <w:r>
        <w:t xml:space="preserve">The federal sentencing guidelines are specific non-binding regulations that define a uniform sentencing policy for defendants convicted through the </w:t>
      </w:r>
      <w:r>
        <w:t>United States federal court system. The sentencing guidelines were validated in 1987. The guidelines provide specific standardized sentences based on different factors. The fundamental elements that were incorporated in determining the conviction of a defe</w:t>
      </w:r>
      <w:r>
        <w:t>ndant included the guilt of the defendant as well as the harm caused by his or her actions</w:t>
      </w:r>
      <w:r w:rsidR="009B495E">
        <w:t xml:space="preserve"> </w:t>
      </w:r>
      <w:r w:rsidR="009B495E">
        <w:fldChar w:fldCharType="begin" w:fldLock="1"/>
      </w:r>
      <w:r w:rsidR="009B495E">
        <w:instrText>ADDIN CSL_CITATION {"citationItems":[{"id":"ITEM-1","itemData":{"DOI":"10.4324/9781315820095","ISBN":"9781315820095","abstract":"Federal Sentencing Guidelines website","author":[{"dropping-particle":"","family":"Gertner","given":"Judge Nancy","non-dropping-particle":"","parse-names":false,"suffix":""}],"container-title":"Penal Populism, Sentencing Councils and Sentencing Policy","id":"ITEM-1","issued":{"date-parts":[["2014"]]},"title":"The United States sentencing commission","type":"chapter"},"uris":["http://www.mendeley.com/documents/?uuid=7d722abe-2761-4378-9a29-9fe5465c4c0e","http://www.mendeley.com/documents/?uuid=965a9a19-a5f1-4c39-b280-77f8b4ff1985"]}],"mendeley":{"formattedCitation":"(Gertner, 2014)","plainTextFormattedCitation":"(Gertner, 2014)","previouslyFormattedCitation":"(Gertner, 2014)"},"properties":{"noteIndex":0},"schema":"https://github.com/citation-style-language/schema/raw/master/csl-citation.json"}</w:instrText>
      </w:r>
      <w:r w:rsidR="009B495E">
        <w:fldChar w:fldCharType="separate"/>
      </w:r>
      <w:r w:rsidR="009B495E" w:rsidRPr="009B495E">
        <w:rPr>
          <w:noProof/>
        </w:rPr>
        <w:t>(Gertner, 2014)</w:t>
      </w:r>
      <w:r w:rsidR="009B495E">
        <w:fldChar w:fldCharType="end"/>
      </w:r>
      <w:r>
        <w:t xml:space="preserve">. The federal sentencing guidelines are not mandatory because of the different existing directions, which provide a specific emphasis on the different sentences provided. </w:t>
      </w:r>
      <w:r w:rsidR="00FD36E1">
        <w:t>However, the instructions are essential for judges when determining a criminal's defendant's sentence. In a situation where the judge, through his or her discretion, decides to depart from the guidelines, they must</w:t>
      </w:r>
      <w:r w:rsidR="00A65C85">
        <w:t xml:space="preserve"> explain the underlying factors that warrant an increase or a reduction in sentence. </w:t>
      </w:r>
    </w:p>
    <w:p w14:paraId="01488043" w14:textId="7B8788F5" w:rsidR="0079225F" w:rsidRPr="0079225F" w:rsidRDefault="00122EC1" w:rsidP="00891334">
      <w:pPr>
        <w:spacing w:line="480" w:lineRule="auto"/>
        <w:ind w:firstLine="720"/>
        <w:jc w:val="both"/>
      </w:pPr>
      <w:r w:rsidRPr="0079225F">
        <w:t xml:space="preserve">The initial purpose of </w:t>
      </w:r>
      <w:r w:rsidRPr="0079225F">
        <w:t>the federal sentencing guidelines was aimed at the certainty of punishment, crime control, and ensuring that there is a structured manner in which different crimes would be punished. Before the development of the guidelines, judges had discretion on divers</w:t>
      </w:r>
      <w:r w:rsidRPr="0079225F">
        <w:t>e options when sentencing individuals were ranging from probation to maximum penalty for the offense. The congress sought to develop a more structured understanding of the development of essential elements, which provided an integral emphasis on a structur</w:t>
      </w:r>
      <w:r w:rsidRPr="0079225F">
        <w:t>ed form of sentencing</w:t>
      </w:r>
      <w:r w:rsidR="009B495E">
        <w:t xml:space="preserve"> </w:t>
      </w:r>
      <w:r w:rsidR="009B495E">
        <w:fldChar w:fldCharType="begin" w:fldLock="1"/>
      </w:r>
      <w:r w:rsidR="009B495E">
        <w:instrText>ADDIN CSL_CITATION {"citationItems":[{"id":"ITEM-1","itemData":{"ISBN":"0160358949","abstract":"Sentencing guidelines have been developed by the U.S. Sentencing Commission that are intended to apply to approximately 90 percent of all Federal court cases. In developing the guidelines, the Commission examined numerous criminal statutes in the U.S. Code, developed distinctions relevant to Code provisions, and applied sentencing ranges to each resulting category. The Commission relied on estimates of existing sentencing practices, based on summary reports of approximately 40,000 convictions, a sample of 10,000 augmented presentence reports, parole guidelines, and policy judgments. The guidelines specifically cover offenses against the person and offenses involving property, public officials, drugs, criminal enterprises and racketeering, fraud or deceit, prostitution, obscenity, and sexual exploitation of minors. The guidelines also encompass offenses involving individual rights, the administration of justice, public safety, immigration and naturalization, national defense, food and drugs, agricultural products, odometer laws, prisons and correctional facilities, and the environment. Additionally, the guidelines focus on antitrust offenses, money laundering, and taxation. They detail sentence determination and sentencing procedures and discuss probation and supervised release violations. Additional information on sentencing statutes and procedures is contained in appendixes. A sentencing table is included that is based on offense level and criminal history category.","author":[{"dropping-particle":"","family":"United States Sentencing Commission","given":"","non-dropping-particle":"","parse-names":false,"suffix":""}],"container-title":"US Sentencing Commission Guidelines Manual","id":"ITEM-1","issued":{"date-parts":[["2016"]]},"title":"United States Sentencing Commission: Guidelines Manual 2016","type":"article-journal"},"uris":["http://www.mendeley.com/documents/?uuid=baa51742-73b7-4be5-986c-bfa5236dfdf1","http://www.mendeley.com/documents/?uuid=ee8fe876-d041-4eb9-a4fc-817dc6ef2a58"]}],"mendeley":{"formattedCitation":"(United States Sentencing Commission, 2016)","plainTextFormattedCitation":"(United States Sentencing Commission, 2016)","previouslyFormattedCitation":"(United States Sentencing Commission, 2016)"},"properties":{"noteIndex":0},"schema":"https://github.com/citation-style-language/schema/raw/master/csl-citation.json"}</w:instrText>
      </w:r>
      <w:r w:rsidR="009B495E">
        <w:fldChar w:fldCharType="separate"/>
      </w:r>
      <w:r w:rsidR="009B495E" w:rsidRPr="009B495E">
        <w:rPr>
          <w:noProof/>
        </w:rPr>
        <w:t>(United States Sentencing Commission, 2016)</w:t>
      </w:r>
      <w:r w:rsidR="009B495E">
        <w:fldChar w:fldCharType="end"/>
      </w:r>
      <w:r w:rsidRPr="0079225F">
        <w:t xml:space="preserve">. Therefore after years </w:t>
      </w:r>
      <w:r w:rsidRPr="0079225F">
        <w:t>of deliberations, congress decided to develop changes to overcome the sentencing challenges that guilty parties were being exposed to. They focused on ensuring that the administration of punishment was more certain based on the crime committed and its seve</w:t>
      </w:r>
      <w:r w:rsidRPr="0079225F">
        <w:t>rity. They also identified that specific offenders such as white-collar and repeated offenders needed to be targeted for severe penalties</w:t>
      </w:r>
      <w:r w:rsidR="00891334">
        <w:t xml:space="preserve"> </w:t>
      </w:r>
      <w:r w:rsidR="00891334">
        <w:fldChar w:fldCharType="begin" w:fldLock="1"/>
      </w:r>
      <w:r w:rsidR="00891334">
        <w:instrText>ADDIN CSL_CITATION {"citationItems":[{"id":"ITEM-1","itemData":{"DOI":"10.4324/9781315820095","ISBN":"9781315820095","abstract":"Federal Sentencing Guidelines website","author":[{"dropping-particle":"","family":"Gertner","given":"Judge Nancy","non-dropping-particle":"","parse-names":false,"suffix":""}],"container-title":"Penal Populism, Sentencing Councils and Sentencing Policy","id":"ITEM-1","issued":{"date-parts":[["2014"]]},"title":"The United States sentencing commission","type":"chapter"},"uris":["http://www.mendeley.com/documents/?uuid=965a9a19-a5f1-4c39-b280-77f8b4ff1985"]}],"mendeley":{"formattedCitation":"(Gertner, 2014)","plainTextFormattedCitation":"(Gertner, 2014)","previouslyFormattedCitation":"(Gertner, 2014)"},"properties":{"noteIndex":0},"schema":"https://github.com/citation-style-language/schema/raw/master/csl-citation.json"}</w:instrText>
      </w:r>
      <w:r w:rsidR="00891334">
        <w:fldChar w:fldCharType="separate"/>
      </w:r>
      <w:r w:rsidR="00891334" w:rsidRPr="00891334">
        <w:rPr>
          <w:noProof/>
        </w:rPr>
        <w:t>(Gertner, 2014)</w:t>
      </w:r>
      <w:r w:rsidR="00891334">
        <w:fldChar w:fldCharType="end"/>
      </w:r>
      <w:r w:rsidRPr="0079225F">
        <w:t>.</w:t>
      </w:r>
    </w:p>
    <w:p w14:paraId="556D4502" w14:textId="7BDF9FDC" w:rsidR="0079225F" w:rsidRPr="0079225F" w:rsidRDefault="00122EC1" w:rsidP="00891334">
      <w:pPr>
        <w:spacing w:line="480" w:lineRule="auto"/>
        <w:ind w:firstLine="720"/>
        <w:jc w:val="both"/>
      </w:pPr>
      <w:r w:rsidRPr="0079225F">
        <w:lastRenderedPageBreak/>
        <w:t>The admissib</w:t>
      </w:r>
      <w:r w:rsidRPr="0079225F">
        <w:t>ility of the sentencing guidelines immediately after they came into effect was questioned, with many defendants arguing about the constitutionality of the sentencing reforms act. The main legal issue that was being addressed was to determine whether the re</w:t>
      </w:r>
      <w:r w:rsidRPr="0079225F">
        <w:t>forms were improper legislative delegation as well as a violation of the separation of powers doctrine. The development of a specific structure provided a unique understanding of essential measures that played a significant role in improving the level of c</w:t>
      </w:r>
      <w:r w:rsidRPr="0079225F">
        <w:t>ommitment to these particular guidelines</w:t>
      </w:r>
      <w:r w:rsidR="009B495E">
        <w:t xml:space="preserve"> </w:t>
      </w:r>
      <w:r w:rsidR="009B495E">
        <w:fldChar w:fldCharType="begin" w:fldLock="1"/>
      </w:r>
      <w:r w:rsidR="009B495E">
        <w:instrText>ADDIN CSL_CITATION {"citationItems":[{"id":"ITEM-1","itemData":{"ISSN":"00914169","abstract":"Cognitive “anchoring effect” bias, especially related to numbers, like sentencing guidelines ranges, is widely recognized in cognitive psychology as an extremely robust and powerful heuristic. It is a cognitive shortcut that has a strong tendency to undermine judgments by “anchoring” a judgment to an earlier disclosed number, the anchor. Numerous studies prove anchoring bias produces systematic errors in judgment in wide-ranging circumstances, including judgments by experts—doctors, lawyers, real estate agents, psychologists, and auditors—as well as a variety of decisions by foreign and American federal and state judges. The anchoring effect occurs even when the anchor is incomplete, inaccurate, irrelevant, implausible, or even random. Roughly corresponding in time with the developing understanding of the anchoring effect, federal sentencing has undergone a revolution from judges having virtually unlimited discretion, to virtually no discretion, and back to considerable discretion, as the Federal Sentencing Guidelines went from mandatory to advisory in a single monumental U.S. Supreme Court decision, United States v. Booker, 543 U.S. 220 (2005). Surprisingly, since judges were granted much greater discretion in Booker, the length and severity of federal sentences, for the most part, has not changed. This remains true despite long-standing, persistent, and widespread dissatisfaction among federal district court judges with the Guidelines and the length of sentences. This Article argues that this is because judges’ sentences are subconsciously anchored by the calculated Guidelines range. This Article offers a simple, modest, and practical solution that requires no change in existing law by the Supreme Court or Congress. It simply requires rearranging the numerical anchoring information in the presentence report and adding additional relevant numerical information to counteract the anchoring effect of the Guidelines. If federal district court judges are educated about the effect of cognitive anchoring and their own bias-based blind spots to it—their improved awareness can only enhance the fairness of sentencing.","author":[{"dropping-particle":"","family":"Bennett","given":"Mark W.","non-dropping-particle":"","parse-names":false,"suffix":""}],"container-title":"Journal of Criminal Law and Criminology","id":"ITEM-1","issued":{"date-parts":[["2014"]]},"title":"Confronting cognitive “Anchoring effect” and “Blind spot” biases in federal sentencing: A modest solution for reforming a fundamental flaw","type":"article-journal"},"uris":["http://www.mendeley.com/documents/?uuid=2dcaa393-4335-4565-afd7-460549ecbb0e","http://www.mendeley.com/documents/?uuid=3ace363f-af5a-47b9-81ea-72d2e9d8b044"]}],"mendeley":{"formattedCitation":"(Bennett, 2014)","plainTextFormattedCitation":"(Bennett, 2014)","previouslyFormattedCitation":"(Bennett, 2014)"},"properties":{"noteIndex":0},"schema":"https://github.com/citation-style-language/schema/raw/master/csl-citation.json"}</w:instrText>
      </w:r>
      <w:r w:rsidR="009B495E">
        <w:fldChar w:fldCharType="separate"/>
      </w:r>
      <w:r w:rsidR="009B495E" w:rsidRPr="009B495E">
        <w:rPr>
          <w:noProof/>
        </w:rPr>
        <w:t>(Bennett, 2014)</w:t>
      </w:r>
      <w:r w:rsidR="009B495E">
        <w:fldChar w:fldCharType="end"/>
      </w:r>
      <w:r w:rsidRPr="0079225F">
        <w:t>.</w:t>
      </w:r>
    </w:p>
    <w:p w14:paraId="7168EA05" w14:textId="557F4A66" w:rsidR="0079225F" w:rsidRDefault="00122EC1" w:rsidP="00891334">
      <w:pPr>
        <w:spacing w:line="480" w:lineRule="auto"/>
        <w:ind w:firstLine="720"/>
        <w:jc w:val="both"/>
      </w:pPr>
      <w:r>
        <w:t>The consideration of federal sentencing guidelines was essential, especially in gu</w:t>
      </w:r>
      <w:r w:rsidR="00533544">
        <w:t>i</w:t>
      </w:r>
      <w:r>
        <w:t>ding judges to make better decisions based on pre-determined guidelines. The emphasis on the</w:t>
      </w:r>
      <w:r>
        <w:t>se processes presents a more transparent and specific approach that helps define essential elements that define a strong engagement within the criminal justice system.</w:t>
      </w:r>
      <w:r w:rsidR="00533544">
        <w:t xml:space="preserve"> However, the basis of these guidelines and whether they promote fair and just due process has remained an issue.</w:t>
      </w:r>
      <w:r w:rsidR="00BB176A">
        <w:t xml:space="preserve"> The use of federal sentencing guidelines is not mandatory, although the judges have discretion based on available information to determine whether to apply them or not</w:t>
      </w:r>
      <w:r w:rsidR="009B495E">
        <w:t xml:space="preserve"> </w:t>
      </w:r>
      <w:r w:rsidR="009B495E">
        <w:fldChar w:fldCharType="begin" w:fldLock="1"/>
      </w:r>
      <w:r w:rsidR="00891334">
        <w:instrText>ADDIN CSL_CITATION {"citationItems":[{"id":"ITEM-1","itemData":{"DOI":"10.4324/9781351160766-1","ISSN":"0002-9602","abstract":"JSTOR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Chances of realizing a legal rationality that does not fit society are limited. Referring to Weber's \"Sociology of Law,\" to related themes in the sociology of polity, organizations, and occupations, and to recent debates on technocratization, juridification, delegali-zation, and responsive law, this article presents a theoretical discus-sion of this thesis. An empirical case, using the neoclassical concept of sentencing guidelines, exemplified by the federal and Minnesota cases, supports the argument. The neoclassical movement, aiming to reverse the substantivation of law and to correct lack of due process, functional failures, disparities, and discrimination, faces considerable impediments and may result in counterproductive ef-fects. The article demonstrates that (1) societal conditions that caused substantivation hamper reformalization in the political pro-cess; organizational and occupational consequences of substantiva-tion also impede (2) political and (3) implementation chances of neoclassical instruments; and (4) impediments to reformalization derive from the method of central guidance used to reestablish so-ciologically formal rationality.","author":[{"dropping-particle":"","family":"Kupchik","given":"Aaron","non-dropping-particle":"","parse-names":false,"suffix":""},{"dropping-particle":"","family":"Savelsberg","given":"Joachim J.","non-dropping-particle":"","parse-names":false,"suffix":""}],"container-title":"Criminal Courts","id":"ITEM-1","issued":{"date-parts":[["2019"]]},"title":"Law That Does Not Fit Society: Sentencing Guidelines as a Neoclassical Reaction to the Dilemmas of Substantivized Law 1","type":"chapter"},"uris":["http://www.mendeley.com/documents/?uuid=71be467f-fd4a-4991-aaab-889ccf6958c7","http://www.mendeley.com/documents/?uuid=e8a28550-49ea-4051-89ea-f3d5e773e837"]}],"mendeley":{"formattedCitation":"(Kupchik &amp; Savelsberg, 2019)","plainTextFormattedCitation":"(Kupchik &amp; Savelsberg, 2019)","previouslyFormattedCitation":"(Kupchik &amp; Savelsberg, 2019)"},"properties":{"noteIndex":0},"schema":"https://github.com/citation-style-language/schema/raw/master/csl-citation.json"}</w:instrText>
      </w:r>
      <w:r w:rsidR="009B495E">
        <w:fldChar w:fldCharType="separate"/>
      </w:r>
      <w:r w:rsidR="009B495E" w:rsidRPr="009B495E">
        <w:rPr>
          <w:noProof/>
        </w:rPr>
        <w:t>(Kupchik &amp; Savelsberg, 2019)</w:t>
      </w:r>
      <w:r w:rsidR="009B495E">
        <w:fldChar w:fldCharType="end"/>
      </w:r>
      <w:r w:rsidR="00BB176A">
        <w:t>.</w:t>
      </w:r>
    </w:p>
    <w:p w14:paraId="4EF0599D" w14:textId="14FD81DA" w:rsidR="00BB176A" w:rsidRDefault="00122EC1" w:rsidP="00891334">
      <w:pPr>
        <w:spacing w:line="480" w:lineRule="auto"/>
        <w:ind w:firstLine="720"/>
        <w:jc w:val="both"/>
      </w:pPr>
      <w:r>
        <w:t xml:space="preserve"> The focus on judges' discretion limits the delivery of the free and fair judgment, considering that different judges have a varying ideology concerning different cases, which provide a greater emphasis on the rights of a defendant.</w:t>
      </w:r>
      <w:r w:rsidR="0079225F">
        <w:t xml:space="preserve"> </w:t>
      </w:r>
      <w:r>
        <w:t xml:space="preserve">The </w:t>
      </w:r>
      <w:r>
        <w:t>federal sentencing guidelines placed more power on the prosecution, who is likely to control the cases and determine whether the defendant is guilty. The fact that judges must consider their options when deviating from the developed guidelines means that t</w:t>
      </w:r>
      <w:r>
        <w:t>he majority would prefer to focus on the guidelines to avoid further issues within the system.</w:t>
      </w:r>
    </w:p>
    <w:p w14:paraId="5C6B3800" w14:textId="18504480" w:rsidR="00891334" w:rsidRDefault="00891334" w:rsidP="00891334">
      <w:pPr>
        <w:spacing w:line="480" w:lineRule="auto"/>
        <w:ind w:firstLine="720"/>
        <w:jc w:val="both"/>
      </w:pPr>
    </w:p>
    <w:p w14:paraId="5A609693" w14:textId="77777777" w:rsidR="00891334" w:rsidRDefault="00891334" w:rsidP="00891334">
      <w:pPr>
        <w:spacing w:line="480" w:lineRule="auto"/>
        <w:ind w:firstLine="720"/>
        <w:jc w:val="both"/>
      </w:pPr>
    </w:p>
    <w:p w14:paraId="41136AFB" w14:textId="6166B602" w:rsidR="0079225F" w:rsidRDefault="00122EC1" w:rsidP="00891334">
      <w:pPr>
        <w:spacing w:line="480" w:lineRule="auto"/>
        <w:jc w:val="both"/>
      </w:pPr>
      <w:r>
        <w:lastRenderedPageBreak/>
        <w:t>The perception of the implementation of federal sentencing guidelines</w:t>
      </w:r>
    </w:p>
    <w:p w14:paraId="5C4A40D3" w14:textId="74E640A7" w:rsidR="0079225F" w:rsidRDefault="00122EC1" w:rsidP="00891334">
      <w:pPr>
        <w:spacing w:line="480" w:lineRule="auto"/>
        <w:ind w:firstLine="720"/>
        <w:jc w:val="both"/>
      </w:pPr>
      <w:r>
        <w:t>At the time of implementation, the federal sentencing guidelines were good, considering t</w:t>
      </w:r>
      <w:r>
        <w:t>hat they sought to control the power of judges and provide a better focus on a free and fair trial process. Both parties would argue their cases and decide regarding specific elements that help improve the</w:t>
      </w:r>
      <w:r w:rsidR="00B309A9">
        <w:t xml:space="preserve"> quality of the sentencing process. The guidelines also provided judges with a gap where they would increase or decrease a given sentence while ensuring that they provide a reason for their decision</w:t>
      </w:r>
      <w:r w:rsidR="009B495E">
        <w:t xml:space="preserve"> </w:t>
      </w:r>
      <w:r w:rsidR="00891334">
        <w:fldChar w:fldCharType="begin" w:fldLock="1"/>
      </w:r>
      <w:r w:rsidR="0077177B">
        <w:instrText>ADDIN CSL_CITATION {"citationItems":[{"id":"ITEM-1","itemData":{"ISBN":"0160358949","abstract":"Sentencing guidelines have been developed by the U.S. Sentencing Commission that are intended to apply to approximately 90 percent of all Federal court cases. In developing the guidelines, the Commission examined numerous criminal statutes in the U.S. Code, developed distinctions relevant to Code provisions, and applied sentencing ranges to each resulting category. The Commission relied on estimates of existing sentencing practices, based on summary reports of approximately 40,000 convictions, a sample of 10,000 augmented presentence reports, parole guidelines, and policy judgments. The guidelines specifically cover offenses against the person and offenses involving property, public officials, drugs, criminal enterprises and racketeering, fraud or deceit, prostitution, obscenity, and sexual exploitation of minors. The guidelines also encompass offenses involving individual rights, the administration of justice, public safety, immigration and naturalization, national defense, food and drugs, agricultural products, odometer laws, prisons and correctional facilities, and the environment. Additionally, the guidelines focus on antitrust offenses, money laundering, and taxation. They detail sentence determination and sentencing procedures and discuss probation and supervised release violations. Additional information on sentencing statutes and procedures is contained in appendixes. A sentencing table is included that is based on offense level and criminal history category.","author":[{"dropping-particle":"","family":"United States Sentencing Commission","given":"","non-dropping-particle":"","parse-names":false,"suffix":""}],"container-title":"US Sentencing Commission Guidelines Manual","id":"ITEM-1","issued":{"date-parts":[["2016"]]},"title":"United States Sentencing Commission: Guidelines Manual 2016","type":"article-journal"},"uris":["http://www.mendeley.com/documents/?uuid=ee8fe876-d041-4eb9-a4fc-817dc6ef2a58"]}],"mendeley":{"formattedCitation":"(United States Sentencing Commission, 2016)","plainTextFormattedCitation":"(United States Sentencing Commission, 2016)","previouslyFormattedCitation":"(United States Sentencing Commission, 2016)"},"properties":{"noteIndex":0},"schema":"https://github.com/citation-style-language/schema/raw/master/csl-citation.json"}</w:instrText>
      </w:r>
      <w:r w:rsidR="00891334">
        <w:fldChar w:fldCharType="separate"/>
      </w:r>
      <w:r w:rsidR="00891334" w:rsidRPr="00891334">
        <w:rPr>
          <w:noProof/>
        </w:rPr>
        <w:t>(United States Sentencing Commission, 2016)</w:t>
      </w:r>
      <w:r w:rsidR="00891334">
        <w:fldChar w:fldCharType="end"/>
      </w:r>
      <w:r w:rsidR="00B309A9">
        <w:t>.</w:t>
      </w:r>
    </w:p>
    <w:p w14:paraId="32B5F7B3" w14:textId="2FF22EF3" w:rsidR="00B309A9" w:rsidRDefault="00122EC1" w:rsidP="00891334">
      <w:pPr>
        <w:spacing w:line="480" w:lineRule="auto"/>
        <w:ind w:firstLine="720"/>
        <w:jc w:val="both"/>
      </w:pPr>
      <w:r>
        <w:t>There were a lot of dispar</w:t>
      </w:r>
      <w:r w:rsidR="00FA2C80">
        <w:t xml:space="preserve">ities, especially considering how the judges were making mixed sentencing on the same crimes. This situation was difficult, especially for defendants who sought to ensure that the justice process was a free, fair, and just system. Thus the implementation of the federal sentencing guidelines was vital in transforming the sentencing guidelines. </w:t>
      </w:r>
      <w:r w:rsidR="008D0FE3">
        <w:t xml:space="preserve"> The congress made significant efforts in identifying the issues that defendants were facing during the trial and sentencing process, which focused on creating a more diverse approach in addressing discrepancies within the trial process</w:t>
      </w:r>
      <w:r w:rsidR="009B495E">
        <w:t xml:space="preserve"> </w:t>
      </w:r>
      <w:r w:rsidR="009B495E">
        <w:fldChar w:fldCharType="begin" w:fldLock="1"/>
      </w:r>
      <w:r w:rsidR="009B495E">
        <w:instrText>ADDIN CSL_CITATION {"citationItems":[{"id":"ITEM-1","itemData":{"DOI":"10.1111/1745-9133.12097","ISSN":"17459133","abstract":"When and if the will to roll back mass incarceration and to create just, fair, and effective sentencing systems becomes manifest, the way forward is clear. First, three-strikes, mandatory minimum sentence, and comparable laws should be repealed. Second, any three-strikes, mandatory minimum sentence, and comparable laws that are not repealed should be substantially narrowed in scope and severity. Third, any three-strikes, mandatory minimum sentence, and comparable laws that are not repealed should be amended to include provisions authorizing judges to impose some other sentence \"in the interest of justice.\" Fourth, life-without-possibility-of-parole laws should be repealed or substantially narrowed. Fifth, truth-in-sentencing laws should be repealed. Sixth, criminal codes should be amended to set substantially lower maximum sentences scaled to the seriousness of crimes. Seventh, every state that does not already have one should establish a sentencing commission and promulgate presumptive sentencing guidelines. Eighth, every state that does not already have one should establish a parole board and every state should establish a parole guidelines system. Ninth, every state and the federal government should reduce its combined rate of jail and prison confinement to half its 2014 level by 2020. Tenth, every state should enact legislation making all prisoners serving fixed terms longer than 5 years, or indeterminate terms, eligible for consideration for release at the expiration of 5 years, and making all prisoners 35 years of age or older eligible for consideration for release after serving 3 years. These proposals are evidence-based and mostly technocratic. Those calling for prison population targets and reducing the lengths of sentences being served may seem bold to some. Relative to the problems they address, they are modest and partial. Decreasing rates of imprisonment by half in the United States, a country with comparatively low crime rates, to a level that will remain 3 to 3.5 times those of other developed Western countries, can hardly be considered overly ambitious.","author":[{"dropping-particle":"","family":"Tonry","given":"Michael","non-dropping-particle":"","parse-names":false,"suffix":""}],"container-title":"Criminology and Public Policy","id":"ITEM-1","issued":{"date-parts":[["2014"]]},"title":"Remodeling American sentencing: A ten-step blueprint for moving past mass incarceration","type":"article-journal"},"uris":["http://www.mendeley.com/documents/?uuid=a2fd3bed-3911-410e-9d7a-4acc1423642f","http://www.mendeley.com/documents/?uuid=0e0a4865-68c9-493d-b514-edc626d80364"]}],"mendeley":{"formattedCitation":"(Tonry, 2014)","plainTextFormattedCitation":"(Tonry, 2014)","previouslyFormattedCitation":"(Tonry, 2014)"},"properties":{"noteIndex":0},"schema":"https://github.com/citation-style-language/schema/raw/master/csl-citation.json"}</w:instrText>
      </w:r>
      <w:r w:rsidR="009B495E">
        <w:fldChar w:fldCharType="separate"/>
      </w:r>
      <w:r w:rsidR="009B495E" w:rsidRPr="009B495E">
        <w:rPr>
          <w:noProof/>
        </w:rPr>
        <w:t>(Tonry, 2014)</w:t>
      </w:r>
      <w:r w:rsidR="009B495E">
        <w:fldChar w:fldCharType="end"/>
      </w:r>
      <w:r w:rsidR="008D0FE3">
        <w:t xml:space="preserve">. </w:t>
      </w:r>
    </w:p>
    <w:p w14:paraId="0A532BC9" w14:textId="2D6BCF7A" w:rsidR="00FA2C80" w:rsidRDefault="00122EC1" w:rsidP="00891334">
      <w:pPr>
        <w:spacing w:line="480" w:lineRule="auto"/>
        <w:jc w:val="both"/>
      </w:pPr>
      <w:r>
        <w:t xml:space="preserve">Federal sentencing guidelines currently </w:t>
      </w:r>
    </w:p>
    <w:p w14:paraId="1C033FF5" w14:textId="091EC313" w:rsidR="00FA2C80" w:rsidRDefault="00122EC1" w:rsidP="00891334">
      <w:pPr>
        <w:spacing w:line="480" w:lineRule="auto"/>
        <w:ind w:firstLine="720"/>
        <w:jc w:val="both"/>
      </w:pPr>
      <w:r>
        <w:t xml:space="preserve">The implementation of the </w:t>
      </w:r>
      <w:r w:rsidR="00306FF5">
        <w:t>guidelines</w:t>
      </w:r>
      <w:r>
        <w:t xml:space="preserve"> has created a difficult environment, especially considering the challenges that exist within t</w:t>
      </w:r>
      <w:r>
        <w:t xml:space="preserve">he criminal justice system. The </w:t>
      </w:r>
      <w:r w:rsidR="00306FF5">
        <w:t>sentencing</w:t>
      </w:r>
      <w:r>
        <w:t xml:space="preserve"> system within the country </w:t>
      </w:r>
      <w:r w:rsidR="00306FF5">
        <w:t>n</w:t>
      </w:r>
      <w:r>
        <w:t xml:space="preserve">eeds transformation, which provides a strong emphasis on the current challenges such as prison </w:t>
      </w:r>
      <w:r w:rsidR="00306FF5">
        <w:t>overcrowding</w:t>
      </w:r>
      <w:r>
        <w:t xml:space="preserve">, which have been necessitated by </w:t>
      </w:r>
      <w:r w:rsidR="00306FF5">
        <w:t>the federal sentencing guidelines, which provide standard sentencing that must be adhered to by judges when making their judgment.  There is a need to adopt a more flexible approach to sentencing, where it would be easier to help address the current challenges within the criminal justice system.</w:t>
      </w:r>
    </w:p>
    <w:p w14:paraId="461BA403" w14:textId="77777777" w:rsidR="00BB176A" w:rsidRPr="00BB176A" w:rsidRDefault="00BB176A" w:rsidP="00891334">
      <w:pPr>
        <w:jc w:val="both"/>
      </w:pPr>
    </w:p>
    <w:p w14:paraId="2C0A8030" w14:textId="1520EC4D" w:rsidR="00BB176A" w:rsidRDefault="00122EC1" w:rsidP="0077177B">
      <w:pPr>
        <w:spacing w:line="480" w:lineRule="auto"/>
        <w:jc w:val="center"/>
      </w:pPr>
      <w:r>
        <w:lastRenderedPageBreak/>
        <w:t>Ref</w:t>
      </w:r>
      <w:r>
        <w:t>erences</w:t>
      </w:r>
    </w:p>
    <w:p w14:paraId="3E49B107" w14:textId="34DCC93D" w:rsidR="0077177B" w:rsidRPr="0077177B" w:rsidRDefault="00122EC1" w:rsidP="0077177B">
      <w:pPr>
        <w:widowControl w:val="0"/>
        <w:autoSpaceDE w:val="0"/>
        <w:autoSpaceDN w:val="0"/>
        <w:adjustRightInd w:val="0"/>
        <w:spacing w:line="48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Pr="0077177B">
        <w:rPr>
          <w:rFonts w:cs="Times New Roman"/>
          <w:noProof/>
          <w:szCs w:val="24"/>
        </w:rPr>
        <w:t xml:space="preserve">Bennett, M. W. (2014). Confronting cognitive “Anchoring effect” and “Blind spot” biases in federal sentencing: A modest solution for reforming a fundamental flaw. </w:t>
      </w:r>
      <w:r w:rsidRPr="0077177B">
        <w:rPr>
          <w:rFonts w:cs="Times New Roman"/>
          <w:i/>
          <w:iCs/>
          <w:noProof/>
          <w:szCs w:val="24"/>
        </w:rPr>
        <w:t>Journal of Criminal Law and Criminology</w:t>
      </w:r>
      <w:r w:rsidRPr="0077177B">
        <w:rPr>
          <w:rFonts w:cs="Times New Roman"/>
          <w:noProof/>
          <w:szCs w:val="24"/>
        </w:rPr>
        <w:t>.</w:t>
      </w:r>
    </w:p>
    <w:p w14:paraId="2C19412C" w14:textId="77777777" w:rsidR="0077177B" w:rsidRPr="0077177B" w:rsidRDefault="00122EC1" w:rsidP="0077177B">
      <w:pPr>
        <w:widowControl w:val="0"/>
        <w:autoSpaceDE w:val="0"/>
        <w:autoSpaceDN w:val="0"/>
        <w:adjustRightInd w:val="0"/>
        <w:spacing w:line="480" w:lineRule="auto"/>
        <w:ind w:left="480" w:hanging="480"/>
        <w:rPr>
          <w:rFonts w:cs="Times New Roman"/>
          <w:noProof/>
          <w:szCs w:val="24"/>
        </w:rPr>
      </w:pPr>
      <w:r w:rsidRPr="0077177B">
        <w:rPr>
          <w:rFonts w:cs="Times New Roman"/>
          <w:noProof/>
          <w:szCs w:val="24"/>
        </w:rPr>
        <w:t xml:space="preserve">Gertner, J. N. (2014). The United States sentencing commission. In </w:t>
      </w:r>
      <w:r w:rsidRPr="0077177B">
        <w:rPr>
          <w:rFonts w:cs="Times New Roman"/>
          <w:i/>
          <w:iCs/>
          <w:noProof/>
          <w:szCs w:val="24"/>
        </w:rPr>
        <w:t>Penal Populism, Sentencing Councils and Sentencing Policy</w:t>
      </w:r>
      <w:r w:rsidRPr="0077177B">
        <w:rPr>
          <w:rFonts w:cs="Times New Roman"/>
          <w:noProof/>
          <w:szCs w:val="24"/>
        </w:rPr>
        <w:t>. https://doi.org/10.4324/9781315820095</w:t>
      </w:r>
    </w:p>
    <w:p w14:paraId="5FE5F07A" w14:textId="77777777" w:rsidR="0077177B" w:rsidRPr="0077177B" w:rsidRDefault="00122EC1" w:rsidP="0077177B">
      <w:pPr>
        <w:widowControl w:val="0"/>
        <w:autoSpaceDE w:val="0"/>
        <w:autoSpaceDN w:val="0"/>
        <w:adjustRightInd w:val="0"/>
        <w:spacing w:line="480" w:lineRule="auto"/>
        <w:ind w:left="480" w:hanging="480"/>
        <w:rPr>
          <w:rFonts w:cs="Times New Roman"/>
          <w:noProof/>
          <w:szCs w:val="24"/>
        </w:rPr>
      </w:pPr>
      <w:r w:rsidRPr="0077177B">
        <w:rPr>
          <w:rFonts w:cs="Times New Roman"/>
          <w:noProof/>
          <w:szCs w:val="24"/>
        </w:rPr>
        <w:t xml:space="preserve">Kupchik, A., &amp; Savelsberg, J. J. (2019). Law That Does Not Fit Society: Sentencing Guidelines as a Neoclassical Reaction to the Dilemmas of Substantivized Law 1. In </w:t>
      </w:r>
      <w:r w:rsidRPr="0077177B">
        <w:rPr>
          <w:rFonts w:cs="Times New Roman"/>
          <w:i/>
          <w:iCs/>
          <w:noProof/>
          <w:szCs w:val="24"/>
        </w:rPr>
        <w:t>Criminal Courts</w:t>
      </w:r>
      <w:r w:rsidRPr="0077177B">
        <w:rPr>
          <w:rFonts w:cs="Times New Roman"/>
          <w:noProof/>
          <w:szCs w:val="24"/>
        </w:rPr>
        <w:t>. https://doi.org/10.4324/9781351160766-1</w:t>
      </w:r>
    </w:p>
    <w:p w14:paraId="13475AB4" w14:textId="77777777" w:rsidR="0077177B" w:rsidRPr="0077177B" w:rsidRDefault="00122EC1" w:rsidP="0077177B">
      <w:pPr>
        <w:widowControl w:val="0"/>
        <w:autoSpaceDE w:val="0"/>
        <w:autoSpaceDN w:val="0"/>
        <w:adjustRightInd w:val="0"/>
        <w:spacing w:line="480" w:lineRule="auto"/>
        <w:ind w:left="480" w:hanging="480"/>
        <w:rPr>
          <w:rFonts w:cs="Times New Roman"/>
          <w:noProof/>
          <w:szCs w:val="24"/>
        </w:rPr>
      </w:pPr>
      <w:r w:rsidRPr="0077177B">
        <w:rPr>
          <w:rFonts w:cs="Times New Roman"/>
          <w:noProof/>
          <w:szCs w:val="24"/>
        </w:rPr>
        <w:t xml:space="preserve">Tonry, M. (2014). Remodeling American sentencing: A ten-step blueprint for moving past mass incarceration. </w:t>
      </w:r>
      <w:r w:rsidRPr="0077177B">
        <w:rPr>
          <w:rFonts w:cs="Times New Roman"/>
          <w:i/>
          <w:iCs/>
          <w:noProof/>
          <w:szCs w:val="24"/>
        </w:rPr>
        <w:t>Criminology and Public Policy</w:t>
      </w:r>
      <w:r w:rsidRPr="0077177B">
        <w:rPr>
          <w:rFonts w:cs="Times New Roman"/>
          <w:noProof/>
          <w:szCs w:val="24"/>
        </w:rPr>
        <w:t>. https://doi.org/10.1111/1745-9133.12097</w:t>
      </w:r>
    </w:p>
    <w:p w14:paraId="336F71D3" w14:textId="77777777" w:rsidR="0077177B" w:rsidRPr="0077177B" w:rsidRDefault="00122EC1" w:rsidP="0077177B">
      <w:pPr>
        <w:widowControl w:val="0"/>
        <w:autoSpaceDE w:val="0"/>
        <w:autoSpaceDN w:val="0"/>
        <w:adjustRightInd w:val="0"/>
        <w:spacing w:line="480" w:lineRule="auto"/>
        <w:ind w:left="480" w:hanging="480"/>
        <w:rPr>
          <w:rFonts w:cs="Times New Roman"/>
          <w:noProof/>
        </w:rPr>
      </w:pPr>
      <w:r w:rsidRPr="0077177B">
        <w:rPr>
          <w:rFonts w:cs="Times New Roman"/>
          <w:noProof/>
          <w:szCs w:val="24"/>
        </w:rPr>
        <w:t>United States Sentencing Commission. (2016). United States Sentencing Commissi</w:t>
      </w:r>
      <w:r w:rsidRPr="0077177B">
        <w:rPr>
          <w:rFonts w:cs="Times New Roman"/>
          <w:noProof/>
          <w:szCs w:val="24"/>
        </w:rPr>
        <w:t xml:space="preserve">on: Guidelines Manual 2016. </w:t>
      </w:r>
      <w:r w:rsidRPr="0077177B">
        <w:rPr>
          <w:rFonts w:cs="Times New Roman"/>
          <w:i/>
          <w:iCs/>
          <w:noProof/>
          <w:szCs w:val="24"/>
        </w:rPr>
        <w:t>US Sentencing Commission Guidelines Manual</w:t>
      </w:r>
      <w:r w:rsidRPr="0077177B">
        <w:rPr>
          <w:rFonts w:cs="Times New Roman"/>
          <w:noProof/>
          <w:szCs w:val="24"/>
        </w:rPr>
        <w:t>.</w:t>
      </w:r>
    </w:p>
    <w:p w14:paraId="34909BD6" w14:textId="0A889585" w:rsidR="0077177B" w:rsidRPr="00B55500" w:rsidRDefault="00122EC1" w:rsidP="0077177B">
      <w:pPr>
        <w:spacing w:line="480" w:lineRule="auto"/>
      </w:pPr>
      <w:r>
        <w:fldChar w:fldCharType="end"/>
      </w:r>
    </w:p>
    <w:sectPr w:rsidR="0077177B" w:rsidRPr="00B55500" w:rsidSect="0024163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6F38EF" w14:textId="77777777" w:rsidR="00122EC1" w:rsidRDefault="00122EC1">
      <w:pPr>
        <w:spacing w:after="0" w:line="240" w:lineRule="auto"/>
      </w:pPr>
      <w:r>
        <w:separator/>
      </w:r>
    </w:p>
  </w:endnote>
  <w:endnote w:type="continuationSeparator" w:id="0">
    <w:p w14:paraId="2BE5759A" w14:textId="77777777" w:rsidR="00122EC1" w:rsidRDefault="00122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116BA7" w14:textId="77777777" w:rsidR="00122EC1" w:rsidRDefault="00122EC1">
      <w:pPr>
        <w:spacing w:after="0" w:line="240" w:lineRule="auto"/>
      </w:pPr>
      <w:r>
        <w:separator/>
      </w:r>
    </w:p>
  </w:footnote>
  <w:footnote w:type="continuationSeparator" w:id="0">
    <w:p w14:paraId="7FCBD006" w14:textId="77777777" w:rsidR="00122EC1" w:rsidRDefault="00122E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6A3C4" w14:textId="35AC476A" w:rsidR="00883974" w:rsidRDefault="00122EC1">
    <w:pPr>
      <w:pStyle w:val="Header"/>
      <w:jc w:val="right"/>
    </w:pPr>
    <w:r w:rsidRPr="00883974">
      <w:t xml:space="preserve">FEDERAL SENTENCING GUIDELINES   </w:t>
    </w:r>
    <w:r>
      <w:t xml:space="preserve">                                                                       </w:t>
    </w:r>
    <w:sdt>
      <w:sdtPr>
        <w:id w:val="16614294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D7E8489" w14:textId="77777777" w:rsidR="00883974" w:rsidRDefault="008839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404D30" w14:textId="4A0D7518" w:rsidR="0024163F" w:rsidRDefault="00122EC1">
    <w:pPr>
      <w:pStyle w:val="Header"/>
      <w:jc w:val="right"/>
    </w:pPr>
    <w:r>
      <w:t xml:space="preserve">Running head: </w:t>
    </w:r>
    <w:r w:rsidRPr="0024163F">
      <w:t>FEDERAL SENTENCING G</w:t>
    </w:r>
    <w:r w:rsidRPr="0024163F">
      <w:t xml:space="preserve">UIDELINES </w:t>
    </w:r>
    <w:r>
      <w:t xml:space="preserve">                                                </w:t>
    </w:r>
    <w:sdt>
      <w:sdtPr>
        <w:id w:val="-6788794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B40523D" w14:textId="77777777" w:rsidR="0024163F" w:rsidRDefault="002416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MwNTY2sTA2tzA2szRT0lEKTi0uzszPAykwqgUA3lWK/SwAAAA="/>
  </w:docVars>
  <w:rsids>
    <w:rsidRoot w:val="00B55500"/>
    <w:rsid w:val="000874A6"/>
    <w:rsid w:val="00122EC1"/>
    <w:rsid w:val="0024163F"/>
    <w:rsid w:val="00306FF5"/>
    <w:rsid w:val="004D7CBB"/>
    <w:rsid w:val="00533544"/>
    <w:rsid w:val="00662227"/>
    <w:rsid w:val="006D5725"/>
    <w:rsid w:val="0077177B"/>
    <w:rsid w:val="0079225F"/>
    <w:rsid w:val="00883974"/>
    <w:rsid w:val="00891334"/>
    <w:rsid w:val="008D0FE3"/>
    <w:rsid w:val="00994BC1"/>
    <w:rsid w:val="009B495E"/>
    <w:rsid w:val="009C5AAE"/>
    <w:rsid w:val="00A65C85"/>
    <w:rsid w:val="00B309A9"/>
    <w:rsid w:val="00B55500"/>
    <w:rsid w:val="00BB176A"/>
    <w:rsid w:val="00CD59D3"/>
    <w:rsid w:val="00D26B32"/>
    <w:rsid w:val="00FA2C80"/>
    <w:rsid w:val="00FD3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DC9528-3F28-4FC2-B6AB-FE8649BDF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5500"/>
    <w:rPr>
      <w:color w:val="0563C1" w:themeColor="hyperlink"/>
      <w:u w:val="single"/>
    </w:rPr>
  </w:style>
  <w:style w:type="character" w:customStyle="1" w:styleId="UnresolvedMention1">
    <w:name w:val="Unresolved Mention1"/>
    <w:basedOn w:val="DefaultParagraphFont"/>
    <w:uiPriority w:val="99"/>
    <w:semiHidden/>
    <w:unhideWhenUsed/>
    <w:rsid w:val="00B55500"/>
    <w:rPr>
      <w:color w:val="605E5C"/>
      <w:shd w:val="clear" w:color="auto" w:fill="E1DFDD"/>
    </w:rPr>
  </w:style>
  <w:style w:type="paragraph" w:styleId="BalloonText">
    <w:name w:val="Balloon Text"/>
    <w:basedOn w:val="Normal"/>
    <w:link w:val="BalloonTextChar"/>
    <w:uiPriority w:val="99"/>
    <w:semiHidden/>
    <w:unhideWhenUsed/>
    <w:rsid w:val="00FD36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36E1"/>
    <w:rPr>
      <w:rFonts w:ascii="Segoe UI" w:hAnsi="Segoe UI" w:cs="Segoe UI"/>
      <w:sz w:val="18"/>
      <w:szCs w:val="18"/>
    </w:rPr>
  </w:style>
  <w:style w:type="paragraph" w:styleId="Header">
    <w:name w:val="header"/>
    <w:basedOn w:val="Normal"/>
    <w:link w:val="HeaderChar"/>
    <w:uiPriority w:val="99"/>
    <w:unhideWhenUsed/>
    <w:rsid w:val="002416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163F"/>
  </w:style>
  <w:style w:type="paragraph" w:styleId="Footer">
    <w:name w:val="footer"/>
    <w:basedOn w:val="Normal"/>
    <w:link w:val="FooterChar"/>
    <w:uiPriority w:val="99"/>
    <w:unhideWhenUsed/>
    <w:rsid w:val="002416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1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A85E1-8627-41E4-966A-D8151A866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3314</Words>
  <Characters>18895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2019-10-29T20:30:00Z</dcterms:created>
  <dcterms:modified xsi:type="dcterms:W3CDTF">2019-10-29T20:30:00Z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